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8E7" w:rsidRPr="00E87837" w:rsidRDefault="00520BDB" w:rsidP="00DD1C58">
      <w:pPr>
        <w:rPr>
          <w:rFonts w:ascii="Arial" w:hAnsi="Arial"/>
          <w:sz w:val="22"/>
          <w:szCs w:val="22"/>
        </w:rPr>
      </w:pPr>
      <w:r w:rsidRPr="00E87837">
        <w:rPr>
          <w:rFonts w:ascii="Arial" w:hAnsi="Arial"/>
          <w:noProof/>
          <w:sz w:val="22"/>
          <w:szCs w:val="22"/>
        </w:rPr>
        <mc:AlternateContent>
          <mc:Choice Requires="wps">
            <w:drawing>
              <wp:anchor distT="0" distB="0" distL="0" distR="0" simplePos="0" relativeHeight="251665408" behindDoc="0" locked="0" layoutInCell="1" allowOverlap="1" wp14:anchorId="204D1F66" wp14:editId="49BA4A52">
                <wp:simplePos x="0" y="0"/>
                <wp:positionH relativeFrom="page">
                  <wp:posOffset>739140</wp:posOffset>
                </wp:positionH>
                <wp:positionV relativeFrom="page">
                  <wp:align>bottom</wp:align>
                </wp:positionV>
                <wp:extent cx="6316980" cy="8770620"/>
                <wp:effectExtent l="0" t="0" r="7620" b="11430"/>
                <wp:wrapSquare wrapText="bothSides"/>
                <wp:docPr id="3" name="Textfeld 3"/>
                <wp:cNvGraphicFramePr/>
                <a:graphic xmlns:a="http://schemas.openxmlformats.org/drawingml/2006/main">
                  <a:graphicData uri="http://schemas.microsoft.com/office/word/2010/wordprocessingShape">
                    <wps:wsp>
                      <wps:cNvSpPr txBox="1"/>
                      <wps:spPr>
                        <a:xfrm flipH="1">
                          <a:off x="0" y="0"/>
                          <a:ext cx="6316980" cy="87706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5E7E54" w:rsidRPr="005E7E54" w:rsidRDefault="005E7E54" w:rsidP="005E7E54">
                            <w:pPr>
                              <w:spacing w:before="100" w:line="320" w:lineRule="atLeast"/>
                              <w:rPr>
                                <w:rFonts w:ascii="Arial" w:eastAsia="Times New Roman" w:hAnsi="Arial" w:cs="Times New Roman"/>
                                <w:b/>
                                <w:color w:val="000000"/>
                                <w:u w:val="single"/>
                              </w:rPr>
                            </w:pPr>
                            <w:r w:rsidRPr="005E7E54">
                              <w:rPr>
                                <w:rFonts w:ascii="Arial" w:eastAsia="Times New Roman" w:hAnsi="Arial" w:cs="Times New Roman"/>
                                <w:b/>
                                <w:color w:val="000000"/>
                                <w:u w:val="single"/>
                              </w:rPr>
                              <w:t>Neue Normen zu Grundsätzen ordnungsmäßiger Buchführung</w:t>
                            </w:r>
                          </w:p>
                          <w:p w:rsidR="005E7E54" w:rsidRPr="005E7E54" w:rsidRDefault="005E7E54" w:rsidP="005E7E54">
                            <w:pPr>
                              <w:autoSpaceDE w:val="0"/>
                              <w:autoSpaceDN w:val="0"/>
                              <w:adjustRightInd w:val="0"/>
                              <w:spacing w:before="100" w:line="360" w:lineRule="auto"/>
                              <w:rPr>
                                <w:rFonts w:ascii="Arial" w:eastAsia="Times New Roman" w:hAnsi="Arial" w:cs="Arial"/>
                                <w:color w:val="000000"/>
                                <w:spacing w:val="10"/>
                                <w:sz w:val="20"/>
                                <w:szCs w:val="20"/>
                              </w:rPr>
                            </w:pPr>
                          </w:p>
                          <w:p w:rsidR="005E7E54" w:rsidRPr="005E7E54" w:rsidRDefault="005E7E54" w:rsidP="005E7E54">
                            <w:pPr>
                              <w:autoSpaceDE w:val="0"/>
                              <w:autoSpaceDN w:val="0"/>
                              <w:adjustRightInd w:val="0"/>
                              <w:spacing w:before="100" w:line="360" w:lineRule="auto"/>
                              <w:rPr>
                                <w:rFonts w:ascii="Arial" w:eastAsia="Times New Roman" w:hAnsi="Arial" w:cs="Arial"/>
                                <w:color w:val="000000"/>
                                <w:spacing w:val="10"/>
                                <w:sz w:val="20"/>
                                <w:szCs w:val="20"/>
                              </w:rPr>
                            </w:pPr>
                            <w:r w:rsidRPr="005E7E54">
                              <w:rPr>
                                <w:rFonts w:ascii="Arial" w:eastAsia="Times New Roman" w:hAnsi="Arial" w:cs="Arial"/>
                                <w:color w:val="000000"/>
                                <w:spacing w:val="10"/>
                                <w:sz w:val="20"/>
                                <w:szCs w:val="20"/>
                              </w:rPr>
                              <w:t>Sehr geehrte Damen und Herren,</w:t>
                            </w:r>
                          </w:p>
                          <w:p w:rsidR="005E7E54" w:rsidRPr="005E7E54" w:rsidRDefault="005E7E54" w:rsidP="005E7E54">
                            <w:pPr>
                              <w:spacing w:before="100" w:line="320" w:lineRule="atLeast"/>
                              <w:rPr>
                                <w:rFonts w:ascii="Arial" w:eastAsia="Times New Roman" w:hAnsi="Arial" w:cs="Times New Roman"/>
                                <w:color w:val="000000"/>
                                <w:sz w:val="20"/>
                              </w:rPr>
                            </w:pPr>
                            <w:r w:rsidRPr="005E7E54">
                              <w:rPr>
                                <w:rFonts w:ascii="Arial" w:eastAsia="Times New Roman" w:hAnsi="Arial" w:cs="Times New Roman"/>
                                <w:color w:val="000000"/>
                                <w:sz w:val="20"/>
                              </w:rPr>
                              <w:t xml:space="preserve">mit Schreiben vom 14.11.2014 wurden die sogenannten „Grundsätze zur ordnungsmäßigen Führung und Aufbewahrung von Büchern, Aufzeichnungen und Unterlagen in elektronischer Form sowie zum Datenzugriff“, kurz GoBD, durch das Bundesministerium für Finanzen veröffentlicht. </w:t>
                            </w:r>
                          </w:p>
                          <w:p w:rsidR="005E7E54" w:rsidRPr="005E7E54" w:rsidRDefault="005E7E54" w:rsidP="005E7E54">
                            <w:pPr>
                              <w:spacing w:before="100" w:line="320" w:lineRule="atLeast"/>
                              <w:rPr>
                                <w:rFonts w:ascii="Arial" w:eastAsia="Times New Roman" w:hAnsi="Arial" w:cs="Times New Roman"/>
                                <w:color w:val="000000"/>
                                <w:sz w:val="20"/>
                              </w:rPr>
                            </w:pPr>
                            <w:r w:rsidRPr="005E7E54">
                              <w:rPr>
                                <w:rFonts w:ascii="Arial" w:eastAsia="Times New Roman" w:hAnsi="Arial" w:cs="Times New Roman"/>
                                <w:color w:val="000000"/>
                                <w:sz w:val="20"/>
                              </w:rPr>
                              <w:t xml:space="preserve">Die neuen Grundsätze konkretisieren die Ordnungsmäßigkeitsanforderungen der Finanzverwaltung an den Einsatz von IT bei der Buchführung und bei sonstigen Aufzeichnungen. Sie ersetzen mit Wirkung zum 01.01.2015 die inzwischen fast 20 Jahre alten </w:t>
                            </w:r>
                            <w:proofErr w:type="spellStart"/>
                            <w:r w:rsidRPr="005E7E54">
                              <w:rPr>
                                <w:rFonts w:ascii="Arial" w:eastAsia="Times New Roman" w:hAnsi="Arial" w:cs="Times New Roman"/>
                                <w:color w:val="000000"/>
                                <w:sz w:val="20"/>
                              </w:rPr>
                              <w:t>GoBS</w:t>
                            </w:r>
                            <w:proofErr w:type="spellEnd"/>
                            <w:r w:rsidRPr="005E7E54">
                              <w:rPr>
                                <w:rFonts w:ascii="Arial" w:eastAsia="Times New Roman" w:hAnsi="Arial" w:cs="Times New Roman"/>
                                <w:color w:val="000000"/>
                                <w:sz w:val="20"/>
                              </w:rPr>
                              <w:t>.</w:t>
                            </w:r>
                          </w:p>
                          <w:p w:rsidR="005E7E54" w:rsidRPr="005E7E54" w:rsidRDefault="005E7E54" w:rsidP="005E7E54">
                            <w:pPr>
                              <w:spacing w:before="100" w:line="320" w:lineRule="atLeast"/>
                              <w:rPr>
                                <w:rFonts w:ascii="Arial" w:eastAsia="Times New Roman" w:hAnsi="Arial" w:cs="Times New Roman"/>
                                <w:color w:val="000000"/>
                                <w:sz w:val="20"/>
                              </w:rPr>
                            </w:pPr>
                            <w:r w:rsidRPr="005E7E54">
                              <w:rPr>
                                <w:rFonts w:ascii="Arial" w:eastAsia="Times New Roman" w:hAnsi="Arial" w:cs="Times New Roman"/>
                                <w:color w:val="000000"/>
                                <w:sz w:val="20"/>
                              </w:rPr>
                              <w:t xml:space="preserve">Zahlreiche Konkretisierungen und Verschärfungen machen Interpretationen, Analysen und Anpassungen bei Ihnen als Buchführungs- bzw. Steuerpflichtigem, bei uns, Ihrem steuerlichen Berater und bei den eingesetzten IT-Systemen notwendig. </w:t>
                            </w:r>
                          </w:p>
                          <w:p w:rsidR="005E7E54" w:rsidRPr="005E7E54" w:rsidRDefault="005E7E54" w:rsidP="005E7E54">
                            <w:pPr>
                              <w:spacing w:before="100" w:line="320" w:lineRule="atLeast"/>
                              <w:rPr>
                                <w:rFonts w:ascii="Arial" w:eastAsia="Times New Roman" w:hAnsi="Arial" w:cs="Times New Roman"/>
                                <w:color w:val="000000"/>
                                <w:sz w:val="20"/>
                              </w:rPr>
                            </w:pPr>
                            <w:r w:rsidRPr="005E7E54">
                              <w:rPr>
                                <w:rFonts w:ascii="Arial" w:eastAsia="Times New Roman" w:hAnsi="Arial" w:cs="Times New Roman"/>
                                <w:color w:val="000000"/>
                                <w:sz w:val="20"/>
                              </w:rPr>
                              <w:t xml:space="preserve">Zu nennen sind vor allem die Ordnung und </w:t>
                            </w:r>
                            <w:proofErr w:type="spellStart"/>
                            <w:r w:rsidRPr="005E7E54">
                              <w:rPr>
                                <w:rFonts w:ascii="Arial" w:eastAsia="Times New Roman" w:hAnsi="Arial" w:cs="Times New Roman"/>
                                <w:color w:val="000000"/>
                                <w:sz w:val="20"/>
                              </w:rPr>
                              <w:t>Zeitgerechtheit</w:t>
                            </w:r>
                            <w:proofErr w:type="spellEnd"/>
                            <w:r w:rsidRPr="005E7E54">
                              <w:rPr>
                                <w:rFonts w:ascii="Arial" w:eastAsia="Times New Roman" w:hAnsi="Arial" w:cs="Times New Roman"/>
                                <w:color w:val="000000"/>
                                <w:sz w:val="20"/>
                              </w:rPr>
                              <w:t xml:space="preserve"> von Belegen, Aufzeichnungen und Buchungen, deren Unveränderbarkeit sowie bestimmte Aspekte der Aufbewahrung. Das ist auch deshalb von besonderer Wirkung, weil die GoBD neben den buchführungspflichtigen </w:t>
                            </w:r>
                            <w:proofErr w:type="spellStart"/>
                            <w:r w:rsidRPr="005E7E54">
                              <w:rPr>
                                <w:rFonts w:ascii="Arial" w:eastAsia="Times New Roman" w:hAnsi="Arial" w:cs="Times New Roman"/>
                                <w:color w:val="000000"/>
                                <w:sz w:val="20"/>
                              </w:rPr>
                              <w:t>Bilanzierern</w:t>
                            </w:r>
                            <w:proofErr w:type="spellEnd"/>
                            <w:r w:rsidRPr="005E7E54">
                              <w:rPr>
                                <w:rFonts w:ascii="Arial" w:eastAsia="Times New Roman" w:hAnsi="Arial" w:cs="Times New Roman"/>
                                <w:color w:val="000000"/>
                                <w:sz w:val="20"/>
                              </w:rPr>
                              <w:t xml:space="preserve"> explizit auch die steuerlichen Aufzeichnungspflichten von Einnahmenüberschussrechnern treffen und nicht nur auf das System der doppelten Buchführung beschränkt bleiben.</w:t>
                            </w:r>
                          </w:p>
                          <w:p w:rsidR="005E7E54" w:rsidRPr="005E7E54" w:rsidRDefault="005E7E54" w:rsidP="005E7E54">
                            <w:pPr>
                              <w:spacing w:before="100" w:line="320" w:lineRule="atLeast"/>
                              <w:rPr>
                                <w:rFonts w:ascii="Arial" w:eastAsia="Times New Roman" w:hAnsi="Arial" w:cs="Times New Roman"/>
                                <w:color w:val="000000"/>
                                <w:sz w:val="20"/>
                              </w:rPr>
                            </w:pPr>
                            <w:r w:rsidRPr="005E7E54">
                              <w:rPr>
                                <w:rFonts w:ascii="Arial" w:eastAsia="Times New Roman" w:hAnsi="Arial" w:cs="Times New Roman"/>
                                <w:color w:val="000000"/>
                                <w:sz w:val="20"/>
                              </w:rPr>
                              <w:t xml:space="preserve">Für die buchungstechnische Erfassung und deren Unveränderbarkeit („Festschreibung“) geben die GoBD erstmals konkrete Fristen vor, die sich am Termin der USt-Voranmeldung orientieren. </w:t>
                            </w:r>
                          </w:p>
                          <w:p w:rsidR="005E7E54" w:rsidRPr="005E7E54" w:rsidRDefault="005E7E54" w:rsidP="005E7E54">
                            <w:pPr>
                              <w:spacing w:before="100" w:line="320" w:lineRule="atLeast"/>
                              <w:rPr>
                                <w:rFonts w:ascii="Arial" w:eastAsia="Times New Roman" w:hAnsi="Arial" w:cs="Times New Roman"/>
                                <w:color w:val="000000"/>
                                <w:sz w:val="20"/>
                              </w:rPr>
                            </w:pPr>
                            <w:r w:rsidRPr="005E7E54">
                              <w:rPr>
                                <w:rFonts w:ascii="Arial" w:eastAsia="Times New Roman" w:hAnsi="Arial" w:cs="Times New Roman"/>
                                <w:color w:val="000000"/>
                                <w:sz w:val="20"/>
                              </w:rPr>
                              <w:t>Unter bestimmten Umständen wird eine geordnete Ablage von Papierbelegen zwar als Grund(buch)</w:t>
                            </w:r>
                            <w:proofErr w:type="spellStart"/>
                            <w:r w:rsidRPr="005E7E54">
                              <w:rPr>
                                <w:rFonts w:ascii="Arial" w:eastAsia="Times New Roman" w:hAnsi="Arial" w:cs="Times New Roman"/>
                                <w:color w:val="000000"/>
                                <w:sz w:val="20"/>
                              </w:rPr>
                              <w:t>aufzeichnung</w:t>
                            </w:r>
                            <w:proofErr w:type="spellEnd"/>
                            <w:r w:rsidRPr="005E7E54">
                              <w:rPr>
                                <w:rFonts w:ascii="Arial" w:eastAsia="Times New Roman" w:hAnsi="Arial" w:cs="Times New Roman"/>
                                <w:color w:val="000000"/>
                                <w:sz w:val="20"/>
                              </w:rPr>
                              <w:t xml:space="preserve"> anerkannt, sofern aber IT zum Einsatz kommt, werden leicht veränderbare Dateiformate wie Word oder Excel ausdrücklich problematisiert und erfordern zumindest weitergehende Maßnahmen und Verfahrensdokumentationen.  </w:t>
                            </w:r>
                          </w:p>
                          <w:p w:rsidR="005E7E54" w:rsidRPr="005E7E54" w:rsidRDefault="005E7E54" w:rsidP="005E7E54">
                            <w:pPr>
                              <w:spacing w:before="100" w:line="320" w:lineRule="atLeast"/>
                              <w:rPr>
                                <w:rFonts w:ascii="Arial" w:eastAsia="Times New Roman" w:hAnsi="Arial" w:cs="Times New Roman"/>
                                <w:color w:val="000000"/>
                                <w:sz w:val="20"/>
                              </w:rPr>
                            </w:pPr>
                            <w:r w:rsidRPr="005E7E54">
                              <w:rPr>
                                <w:rFonts w:ascii="Arial" w:eastAsia="Times New Roman" w:hAnsi="Arial" w:cs="Times New Roman"/>
                                <w:color w:val="000000"/>
                                <w:sz w:val="20"/>
                              </w:rPr>
                              <w:t>Zusätzlich verschärft wird die Wahl der verwendeten IT-Unterstützung dadurch, dass die Finanzverwaltung bei der Aufbewahrung von Belegen und sonstigen aufbewahrungspflichtigen Unterlagen eine Ablage der Dateien nur auf Dateisystem-Ebene und ohne weitere Sicherungsmaßnahmen ebenfalls problematisiert.</w:t>
                            </w:r>
                          </w:p>
                          <w:p w:rsidR="005E7E54" w:rsidRPr="005E7E54" w:rsidRDefault="005E7E54" w:rsidP="005E7E54">
                            <w:pPr>
                              <w:spacing w:before="100" w:line="320" w:lineRule="atLeast"/>
                              <w:rPr>
                                <w:rFonts w:ascii="Arial" w:eastAsia="Times New Roman" w:hAnsi="Arial" w:cs="Times New Roman"/>
                                <w:color w:val="000000"/>
                                <w:sz w:val="20"/>
                              </w:rPr>
                            </w:pPr>
                            <w:r w:rsidRPr="005E7E54">
                              <w:rPr>
                                <w:rFonts w:ascii="Arial" w:eastAsia="Times New Roman" w:hAnsi="Arial" w:cs="Times New Roman"/>
                                <w:color w:val="000000"/>
                                <w:sz w:val="20"/>
                              </w:rPr>
                              <w:t xml:space="preserve">Klarstellungen beim Umfang der Aufbewahrungspflichten von Daten aus sogenannten „Vorsystemen“ (z.B. Warenwirtschaftssysteme, Materialwirtschaft, Zahlungsverkehrssysteme, Taxameter) – häufig in Verbindung mit dem Grundsatz der Einzelaufzeichnungspflicht – verschärfen diese Anforderungen an den Umfang und die Art der Aufbewahrung ebenfalls. </w:t>
                            </w:r>
                          </w:p>
                          <w:p w:rsidR="005E7E54" w:rsidRPr="005E7E54" w:rsidRDefault="005E7E54" w:rsidP="005E7E54">
                            <w:pPr>
                              <w:spacing w:before="100" w:line="320" w:lineRule="atLeast"/>
                              <w:rPr>
                                <w:rFonts w:ascii="Arial" w:eastAsia="Times New Roman" w:hAnsi="Arial" w:cs="Times New Roman"/>
                                <w:color w:val="000000"/>
                                <w:sz w:val="20"/>
                              </w:rPr>
                            </w:pPr>
                            <w:r w:rsidRPr="005E7E54">
                              <w:rPr>
                                <w:rFonts w:ascii="Arial" w:eastAsia="Times New Roman" w:hAnsi="Arial" w:cs="Times New Roman"/>
                                <w:color w:val="000000"/>
                                <w:sz w:val="20"/>
                              </w:rPr>
                              <w:t>Wir analysieren aktuell die Auswirkungen auf bestehende Verfahren unserer Zusammenarbeit. Sofern organisatorische Maßnahmen aufgrund der Neuregelungen auf Sie und uns zukommen sollten, werden wir Sie gesondert informieren.</w:t>
                            </w:r>
                          </w:p>
                          <w:p w:rsidR="005E7E54" w:rsidRPr="005E7E54" w:rsidRDefault="005E7E54" w:rsidP="005E7E54">
                            <w:pPr>
                              <w:spacing w:before="100" w:line="320" w:lineRule="atLeast"/>
                              <w:rPr>
                                <w:rFonts w:ascii="Arial" w:eastAsia="Times New Roman" w:hAnsi="Arial" w:cs="Times New Roman"/>
                                <w:color w:val="000000"/>
                                <w:sz w:val="20"/>
                              </w:rPr>
                            </w:pPr>
                            <w:r w:rsidRPr="005E7E54">
                              <w:rPr>
                                <w:rFonts w:ascii="Arial" w:eastAsia="Times New Roman" w:hAnsi="Arial" w:cs="Times New Roman"/>
                                <w:color w:val="000000"/>
                                <w:sz w:val="20"/>
                              </w:rPr>
                              <w:t>Weitere Informationen zum Thema GoBD finden Sie in der Anlage sowie unter www.datev.de/gobd.</w:t>
                            </w:r>
                          </w:p>
                          <w:p w:rsidR="005E7E54" w:rsidRPr="005E7E54" w:rsidRDefault="005E7E54" w:rsidP="005E7E54">
                            <w:pPr>
                              <w:spacing w:before="100" w:line="320" w:lineRule="atLeast"/>
                              <w:rPr>
                                <w:rFonts w:ascii="Arial" w:eastAsia="Times New Roman" w:hAnsi="Arial" w:cs="Times New Roman"/>
                                <w:color w:val="000000"/>
                                <w:sz w:val="20"/>
                              </w:rPr>
                            </w:pPr>
                            <w:bookmarkStart w:id="0" w:name="_GoBack"/>
                            <w:bookmarkEnd w:id="0"/>
                            <w:r w:rsidRPr="005E7E54">
                              <w:rPr>
                                <w:rFonts w:ascii="Arial" w:eastAsia="Times New Roman" w:hAnsi="Arial" w:cs="Times New Roman"/>
                                <w:color w:val="000000"/>
                                <w:sz w:val="20"/>
                              </w:rPr>
                              <w:t>Mit freundlichem Gruß</w:t>
                            </w:r>
                          </w:p>
                          <w:p w:rsidR="005E7E54" w:rsidRPr="005E7E54" w:rsidRDefault="005E7E54" w:rsidP="005E7E54">
                            <w:pPr>
                              <w:spacing w:before="100" w:line="320" w:lineRule="atLeast"/>
                              <w:rPr>
                                <w:rFonts w:ascii="Arial" w:eastAsia="Times New Roman" w:hAnsi="Arial" w:cs="Times New Roman"/>
                                <w:color w:val="000000"/>
                                <w:sz w:val="20"/>
                              </w:rPr>
                            </w:pPr>
                          </w:p>
                          <w:p w:rsidR="005E7E54" w:rsidRPr="005E7E54" w:rsidRDefault="005E7E54" w:rsidP="005E7E54">
                            <w:pPr>
                              <w:spacing w:before="100" w:line="320" w:lineRule="atLeast"/>
                              <w:rPr>
                                <w:rFonts w:ascii="Lucida Handwriting" w:eastAsia="Times New Roman" w:hAnsi="Lucida Handwriting" w:cs="Times New Roman"/>
                                <w:color w:val="000000"/>
                              </w:rPr>
                            </w:pPr>
                            <w:r w:rsidRPr="005E7E54">
                              <w:rPr>
                                <w:rFonts w:ascii="Lucida Handwriting" w:eastAsia="Times New Roman" w:hAnsi="Lucida Handwriting" w:cs="Times New Roman"/>
                                <w:color w:val="000000"/>
                              </w:rPr>
                              <w:t>Rita Friedrichs</w:t>
                            </w:r>
                          </w:p>
                          <w:p w:rsidR="005E7E54" w:rsidRPr="005E7E54" w:rsidRDefault="005E7E54" w:rsidP="005E7E54">
                            <w:pPr>
                              <w:spacing w:after="160" w:line="259" w:lineRule="auto"/>
                              <w:rPr>
                                <w:rFonts w:ascii="Calibri" w:eastAsia="Calibri" w:hAnsi="Calibri" w:cs="Times New Roman"/>
                                <w:sz w:val="22"/>
                                <w:szCs w:val="22"/>
                                <w:lang w:eastAsia="en-US"/>
                              </w:rPr>
                            </w:pPr>
                          </w:p>
                          <w:p w:rsidR="00D21781" w:rsidRPr="00520BDB" w:rsidRDefault="00D21781">
                            <w:pPr>
                              <w:rPr>
                                <w:rFonts w:ascii="Arial" w:hAnsi="Arial"/>
                                <w:noProof/>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D1F66" id="_x0000_t202" coordsize="21600,21600" o:spt="202" path="m,l,21600r21600,l21600,xe">
                <v:stroke joinstyle="miter"/>
                <v:path gradientshapeok="t" o:connecttype="rect"/>
              </v:shapetype>
              <v:shape id="Textfeld 3" o:spid="_x0000_s1026" type="#_x0000_t202" style="position:absolute;margin-left:58.2pt;margin-top:0;width:497.4pt;height:690.6pt;flip:x;z-index:251665408;visibility:visible;mso-wrap-style:square;mso-width-percent:0;mso-height-percent:0;mso-wrap-distance-left:0;mso-wrap-distance-top:0;mso-wrap-distance-right:0;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" filled="f" stroked="f">
                <v:textbox inset="0,0,0,0">
                  <w:txbxContent>
                    <w:p w:rsidR="005E7E54" w:rsidRPr="005E7E54" w:rsidRDefault="005E7E54" w:rsidP="005E7E54">
                      <w:pPr>
                        <w:spacing w:before="100" w:line="320" w:lineRule="atLeast"/>
                        <w:rPr>
                          <w:rFonts w:ascii="Arial" w:eastAsia="Times New Roman" w:hAnsi="Arial" w:cs="Times New Roman"/>
                          <w:b/>
                          <w:color w:val="000000"/>
                          <w:u w:val="single"/>
                        </w:rPr>
                      </w:pPr>
                      <w:r w:rsidRPr="005E7E54">
                        <w:rPr>
                          <w:rFonts w:ascii="Arial" w:eastAsia="Times New Roman" w:hAnsi="Arial" w:cs="Times New Roman"/>
                          <w:b/>
                          <w:color w:val="000000"/>
                          <w:u w:val="single"/>
                        </w:rPr>
                        <w:t>Neue Normen zu Grundsätzen ordnungsmäßiger Buchführung</w:t>
                      </w:r>
                    </w:p>
                    <w:p w:rsidR="005E7E54" w:rsidRPr="005E7E54" w:rsidRDefault="005E7E54" w:rsidP="005E7E54">
                      <w:pPr>
                        <w:autoSpaceDE w:val="0"/>
                        <w:autoSpaceDN w:val="0"/>
                        <w:adjustRightInd w:val="0"/>
                        <w:spacing w:before="100" w:line="360" w:lineRule="auto"/>
                        <w:rPr>
                          <w:rFonts w:ascii="Arial" w:eastAsia="Times New Roman" w:hAnsi="Arial" w:cs="Arial"/>
                          <w:color w:val="000000"/>
                          <w:spacing w:val="10"/>
                          <w:sz w:val="20"/>
                          <w:szCs w:val="20"/>
                        </w:rPr>
                      </w:pPr>
                    </w:p>
                    <w:p w:rsidR="005E7E54" w:rsidRPr="005E7E54" w:rsidRDefault="005E7E54" w:rsidP="005E7E54">
                      <w:pPr>
                        <w:autoSpaceDE w:val="0"/>
                        <w:autoSpaceDN w:val="0"/>
                        <w:adjustRightInd w:val="0"/>
                        <w:spacing w:before="100" w:line="360" w:lineRule="auto"/>
                        <w:rPr>
                          <w:rFonts w:ascii="Arial" w:eastAsia="Times New Roman" w:hAnsi="Arial" w:cs="Arial"/>
                          <w:color w:val="000000"/>
                          <w:spacing w:val="10"/>
                          <w:sz w:val="20"/>
                          <w:szCs w:val="20"/>
                        </w:rPr>
                      </w:pPr>
                      <w:r w:rsidRPr="005E7E54">
                        <w:rPr>
                          <w:rFonts w:ascii="Arial" w:eastAsia="Times New Roman" w:hAnsi="Arial" w:cs="Arial"/>
                          <w:color w:val="000000"/>
                          <w:spacing w:val="10"/>
                          <w:sz w:val="20"/>
                          <w:szCs w:val="20"/>
                        </w:rPr>
                        <w:t>Sehr geehrte Damen und Herren,</w:t>
                      </w:r>
                    </w:p>
                    <w:p w:rsidR="005E7E54" w:rsidRPr="005E7E54" w:rsidRDefault="005E7E54" w:rsidP="005E7E54">
                      <w:pPr>
                        <w:spacing w:before="100" w:line="320" w:lineRule="atLeast"/>
                        <w:rPr>
                          <w:rFonts w:ascii="Arial" w:eastAsia="Times New Roman" w:hAnsi="Arial" w:cs="Times New Roman"/>
                          <w:color w:val="000000"/>
                          <w:sz w:val="20"/>
                        </w:rPr>
                      </w:pPr>
                      <w:r w:rsidRPr="005E7E54">
                        <w:rPr>
                          <w:rFonts w:ascii="Arial" w:eastAsia="Times New Roman" w:hAnsi="Arial" w:cs="Times New Roman"/>
                          <w:color w:val="000000"/>
                          <w:sz w:val="20"/>
                        </w:rPr>
                        <w:t xml:space="preserve">mit Schreiben vom 14.11.2014 wurden die sogenannten „Grundsätze zur ordnungsmäßigen Führung und Aufbewahrung von Büchern, Aufzeichnungen und Unterlagen in elektronischer Form sowie zum Datenzugriff“, kurz GoBD, durch das Bundesministerium für Finanzen veröffentlicht. </w:t>
                      </w:r>
                    </w:p>
                    <w:p w:rsidR="005E7E54" w:rsidRPr="005E7E54" w:rsidRDefault="005E7E54" w:rsidP="005E7E54">
                      <w:pPr>
                        <w:spacing w:before="100" w:line="320" w:lineRule="atLeast"/>
                        <w:rPr>
                          <w:rFonts w:ascii="Arial" w:eastAsia="Times New Roman" w:hAnsi="Arial" w:cs="Times New Roman"/>
                          <w:color w:val="000000"/>
                          <w:sz w:val="20"/>
                        </w:rPr>
                      </w:pPr>
                      <w:r w:rsidRPr="005E7E54">
                        <w:rPr>
                          <w:rFonts w:ascii="Arial" w:eastAsia="Times New Roman" w:hAnsi="Arial" w:cs="Times New Roman"/>
                          <w:color w:val="000000"/>
                          <w:sz w:val="20"/>
                        </w:rPr>
                        <w:t xml:space="preserve">Die neuen Grundsätze konkretisieren die Ordnungsmäßigkeitsanforderungen der Finanzverwaltung an den Einsatz von IT bei der Buchführung und bei sonstigen Aufzeichnungen. Sie ersetzen mit Wirkung zum 01.01.2015 die inzwischen fast 20 Jahre alten </w:t>
                      </w:r>
                      <w:proofErr w:type="spellStart"/>
                      <w:r w:rsidRPr="005E7E54">
                        <w:rPr>
                          <w:rFonts w:ascii="Arial" w:eastAsia="Times New Roman" w:hAnsi="Arial" w:cs="Times New Roman"/>
                          <w:color w:val="000000"/>
                          <w:sz w:val="20"/>
                        </w:rPr>
                        <w:t>GoBS</w:t>
                      </w:r>
                      <w:proofErr w:type="spellEnd"/>
                      <w:r w:rsidRPr="005E7E54">
                        <w:rPr>
                          <w:rFonts w:ascii="Arial" w:eastAsia="Times New Roman" w:hAnsi="Arial" w:cs="Times New Roman"/>
                          <w:color w:val="000000"/>
                          <w:sz w:val="20"/>
                        </w:rPr>
                        <w:t>.</w:t>
                      </w:r>
                    </w:p>
                    <w:p w:rsidR="005E7E54" w:rsidRPr="005E7E54" w:rsidRDefault="005E7E54" w:rsidP="005E7E54">
                      <w:pPr>
                        <w:spacing w:before="100" w:line="320" w:lineRule="atLeast"/>
                        <w:rPr>
                          <w:rFonts w:ascii="Arial" w:eastAsia="Times New Roman" w:hAnsi="Arial" w:cs="Times New Roman"/>
                          <w:color w:val="000000"/>
                          <w:sz w:val="20"/>
                        </w:rPr>
                      </w:pPr>
                      <w:r w:rsidRPr="005E7E54">
                        <w:rPr>
                          <w:rFonts w:ascii="Arial" w:eastAsia="Times New Roman" w:hAnsi="Arial" w:cs="Times New Roman"/>
                          <w:color w:val="000000"/>
                          <w:sz w:val="20"/>
                        </w:rPr>
                        <w:t xml:space="preserve">Zahlreiche Konkretisierungen und Verschärfungen machen Interpretationen, Analysen und Anpassungen bei Ihnen als Buchführungs- bzw. Steuerpflichtigem, bei uns, Ihrem steuerlichen Berater und bei den eingesetzten IT-Systemen notwendig. </w:t>
                      </w:r>
                    </w:p>
                    <w:p w:rsidR="005E7E54" w:rsidRPr="005E7E54" w:rsidRDefault="005E7E54" w:rsidP="005E7E54">
                      <w:pPr>
                        <w:spacing w:before="100" w:line="320" w:lineRule="atLeast"/>
                        <w:rPr>
                          <w:rFonts w:ascii="Arial" w:eastAsia="Times New Roman" w:hAnsi="Arial" w:cs="Times New Roman"/>
                          <w:color w:val="000000"/>
                          <w:sz w:val="20"/>
                        </w:rPr>
                      </w:pPr>
                      <w:r w:rsidRPr="005E7E54">
                        <w:rPr>
                          <w:rFonts w:ascii="Arial" w:eastAsia="Times New Roman" w:hAnsi="Arial" w:cs="Times New Roman"/>
                          <w:color w:val="000000"/>
                          <w:sz w:val="20"/>
                        </w:rPr>
                        <w:t xml:space="preserve">Zu nennen sind vor allem die Ordnung und </w:t>
                      </w:r>
                      <w:proofErr w:type="spellStart"/>
                      <w:r w:rsidRPr="005E7E54">
                        <w:rPr>
                          <w:rFonts w:ascii="Arial" w:eastAsia="Times New Roman" w:hAnsi="Arial" w:cs="Times New Roman"/>
                          <w:color w:val="000000"/>
                          <w:sz w:val="20"/>
                        </w:rPr>
                        <w:t>Zeitgerechtheit</w:t>
                      </w:r>
                      <w:proofErr w:type="spellEnd"/>
                      <w:r w:rsidRPr="005E7E54">
                        <w:rPr>
                          <w:rFonts w:ascii="Arial" w:eastAsia="Times New Roman" w:hAnsi="Arial" w:cs="Times New Roman"/>
                          <w:color w:val="000000"/>
                          <w:sz w:val="20"/>
                        </w:rPr>
                        <w:t xml:space="preserve"> von Belegen, Aufzeichnungen und Buchungen, deren Unveränderbarkeit sowie bestimmte Aspekte der Aufbewahrung. Das ist auch deshalb von besonderer Wirkung, weil die GoBD neben den buchführungspflichtigen </w:t>
                      </w:r>
                      <w:proofErr w:type="spellStart"/>
                      <w:r w:rsidRPr="005E7E54">
                        <w:rPr>
                          <w:rFonts w:ascii="Arial" w:eastAsia="Times New Roman" w:hAnsi="Arial" w:cs="Times New Roman"/>
                          <w:color w:val="000000"/>
                          <w:sz w:val="20"/>
                        </w:rPr>
                        <w:t>Bilanzierern</w:t>
                      </w:r>
                      <w:proofErr w:type="spellEnd"/>
                      <w:r w:rsidRPr="005E7E54">
                        <w:rPr>
                          <w:rFonts w:ascii="Arial" w:eastAsia="Times New Roman" w:hAnsi="Arial" w:cs="Times New Roman"/>
                          <w:color w:val="000000"/>
                          <w:sz w:val="20"/>
                        </w:rPr>
                        <w:t xml:space="preserve"> explizit auch die steuerlichen Aufzeichnungspflichten von Einnahmenüberschussrechnern treffen und nicht nur auf das System der doppelten Buchführung beschränkt bleiben.</w:t>
                      </w:r>
                    </w:p>
                    <w:p w:rsidR="005E7E54" w:rsidRPr="005E7E54" w:rsidRDefault="005E7E54" w:rsidP="005E7E54">
                      <w:pPr>
                        <w:spacing w:before="100" w:line="320" w:lineRule="atLeast"/>
                        <w:rPr>
                          <w:rFonts w:ascii="Arial" w:eastAsia="Times New Roman" w:hAnsi="Arial" w:cs="Times New Roman"/>
                          <w:color w:val="000000"/>
                          <w:sz w:val="20"/>
                        </w:rPr>
                      </w:pPr>
                      <w:r w:rsidRPr="005E7E54">
                        <w:rPr>
                          <w:rFonts w:ascii="Arial" w:eastAsia="Times New Roman" w:hAnsi="Arial" w:cs="Times New Roman"/>
                          <w:color w:val="000000"/>
                          <w:sz w:val="20"/>
                        </w:rPr>
                        <w:t xml:space="preserve">Für die buchungstechnische Erfassung und deren Unveränderbarkeit („Festschreibung“) geben die GoBD erstmals konkrete Fristen vor, die sich am Termin der USt-Voranmeldung orientieren. </w:t>
                      </w:r>
                    </w:p>
                    <w:p w:rsidR="005E7E54" w:rsidRPr="005E7E54" w:rsidRDefault="005E7E54" w:rsidP="005E7E54">
                      <w:pPr>
                        <w:spacing w:before="100" w:line="320" w:lineRule="atLeast"/>
                        <w:rPr>
                          <w:rFonts w:ascii="Arial" w:eastAsia="Times New Roman" w:hAnsi="Arial" w:cs="Times New Roman"/>
                          <w:color w:val="000000"/>
                          <w:sz w:val="20"/>
                        </w:rPr>
                      </w:pPr>
                      <w:r w:rsidRPr="005E7E54">
                        <w:rPr>
                          <w:rFonts w:ascii="Arial" w:eastAsia="Times New Roman" w:hAnsi="Arial" w:cs="Times New Roman"/>
                          <w:color w:val="000000"/>
                          <w:sz w:val="20"/>
                        </w:rPr>
                        <w:t>Unter bestimmten Umständen wird eine geordnete Ablage von Papierbelegen zwar als Grund(buch)</w:t>
                      </w:r>
                      <w:proofErr w:type="spellStart"/>
                      <w:r w:rsidRPr="005E7E54">
                        <w:rPr>
                          <w:rFonts w:ascii="Arial" w:eastAsia="Times New Roman" w:hAnsi="Arial" w:cs="Times New Roman"/>
                          <w:color w:val="000000"/>
                          <w:sz w:val="20"/>
                        </w:rPr>
                        <w:t>aufzeichnung</w:t>
                      </w:r>
                      <w:proofErr w:type="spellEnd"/>
                      <w:r w:rsidRPr="005E7E54">
                        <w:rPr>
                          <w:rFonts w:ascii="Arial" w:eastAsia="Times New Roman" w:hAnsi="Arial" w:cs="Times New Roman"/>
                          <w:color w:val="000000"/>
                          <w:sz w:val="20"/>
                        </w:rPr>
                        <w:t xml:space="preserve"> anerkannt, sofern aber IT zum Einsatz kommt, werden leicht veränderbare Dateiformate wie Word oder Excel ausdrücklich problematisiert und erfordern zumindest weitergehende Maßnahmen und Verfahrensdokumentationen.  </w:t>
                      </w:r>
                    </w:p>
                    <w:p w:rsidR="005E7E54" w:rsidRPr="005E7E54" w:rsidRDefault="005E7E54" w:rsidP="005E7E54">
                      <w:pPr>
                        <w:spacing w:before="100" w:line="320" w:lineRule="atLeast"/>
                        <w:rPr>
                          <w:rFonts w:ascii="Arial" w:eastAsia="Times New Roman" w:hAnsi="Arial" w:cs="Times New Roman"/>
                          <w:color w:val="000000"/>
                          <w:sz w:val="20"/>
                        </w:rPr>
                      </w:pPr>
                      <w:r w:rsidRPr="005E7E54">
                        <w:rPr>
                          <w:rFonts w:ascii="Arial" w:eastAsia="Times New Roman" w:hAnsi="Arial" w:cs="Times New Roman"/>
                          <w:color w:val="000000"/>
                          <w:sz w:val="20"/>
                        </w:rPr>
                        <w:t>Zusätzlich verschärft wird die Wahl der verwendeten IT-Unterstützung dadurch, dass die Finanzverwaltung bei der Aufbewahrung von Belegen und sonstigen aufbewahrungspflichtigen Unterlagen eine Ablage der Dateien nur auf Dateisystem-Ebene und ohne weitere Sicherungsmaßnahmen ebenfalls problematisiert.</w:t>
                      </w:r>
                    </w:p>
                    <w:p w:rsidR="005E7E54" w:rsidRPr="005E7E54" w:rsidRDefault="005E7E54" w:rsidP="005E7E54">
                      <w:pPr>
                        <w:spacing w:before="100" w:line="320" w:lineRule="atLeast"/>
                        <w:rPr>
                          <w:rFonts w:ascii="Arial" w:eastAsia="Times New Roman" w:hAnsi="Arial" w:cs="Times New Roman"/>
                          <w:color w:val="000000"/>
                          <w:sz w:val="20"/>
                        </w:rPr>
                      </w:pPr>
                      <w:r w:rsidRPr="005E7E54">
                        <w:rPr>
                          <w:rFonts w:ascii="Arial" w:eastAsia="Times New Roman" w:hAnsi="Arial" w:cs="Times New Roman"/>
                          <w:color w:val="000000"/>
                          <w:sz w:val="20"/>
                        </w:rPr>
                        <w:t xml:space="preserve">Klarstellungen beim Umfang der Aufbewahrungspflichten von Daten aus sogenannten „Vorsystemen“ (z.B. Warenwirtschaftssysteme, Materialwirtschaft, Zahlungsverkehrssysteme, Taxameter) – häufig in Verbindung mit dem Grundsatz der Einzelaufzeichnungspflicht – verschärfen diese Anforderungen an den Umfang und die Art der Aufbewahrung ebenfalls. </w:t>
                      </w:r>
                    </w:p>
                    <w:p w:rsidR="005E7E54" w:rsidRPr="005E7E54" w:rsidRDefault="005E7E54" w:rsidP="005E7E54">
                      <w:pPr>
                        <w:spacing w:before="100" w:line="320" w:lineRule="atLeast"/>
                        <w:rPr>
                          <w:rFonts w:ascii="Arial" w:eastAsia="Times New Roman" w:hAnsi="Arial" w:cs="Times New Roman"/>
                          <w:color w:val="000000"/>
                          <w:sz w:val="20"/>
                        </w:rPr>
                      </w:pPr>
                      <w:r w:rsidRPr="005E7E54">
                        <w:rPr>
                          <w:rFonts w:ascii="Arial" w:eastAsia="Times New Roman" w:hAnsi="Arial" w:cs="Times New Roman"/>
                          <w:color w:val="000000"/>
                          <w:sz w:val="20"/>
                        </w:rPr>
                        <w:t>Wir analysieren aktuell die Auswirkungen auf bestehende Verfahren unserer Zusammenarbeit. Sofern organisatorische Maßnahmen aufgrund der Neuregelungen auf Sie und uns zukommen sollten, werden wir Sie gesondert informieren.</w:t>
                      </w:r>
                    </w:p>
                    <w:p w:rsidR="005E7E54" w:rsidRPr="005E7E54" w:rsidRDefault="005E7E54" w:rsidP="005E7E54">
                      <w:pPr>
                        <w:spacing w:before="100" w:line="320" w:lineRule="atLeast"/>
                        <w:rPr>
                          <w:rFonts w:ascii="Arial" w:eastAsia="Times New Roman" w:hAnsi="Arial" w:cs="Times New Roman"/>
                          <w:color w:val="000000"/>
                          <w:sz w:val="20"/>
                        </w:rPr>
                      </w:pPr>
                      <w:r w:rsidRPr="005E7E54">
                        <w:rPr>
                          <w:rFonts w:ascii="Arial" w:eastAsia="Times New Roman" w:hAnsi="Arial" w:cs="Times New Roman"/>
                          <w:color w:val="000000"/>
                          <w:sz w:val="20"/>
                        </w:rPr>
                        <w:t>Weitere Informationen zum Thema GoBD finden Sie in der Anlage sowie unter www.datev.de/gobd.</w:t>
                      </w:r>
                    </w:p>
                    <w:p w:rsidR="005E7E54" w:rsidRPr="005E7E54" w:rsidRDefault="005E7E54" w:rsidP="005E7E54">
                      <w:pPr>
                        <w:spacing w:before="100" w:line="320" w:lineRule="atLeast"/>
                        <w:rPr>
                          <w:rFonts w:ascii="Arial" w:eastAsia="Times New Roman" w:hAnsi="Arial" w:cs="Times New Roman"/>
                          <w:color w:val="000000"/>
                          <w:sz w:val="20"/>
                        </w:rPr>
                      </w:pPr>
                      <w:bookmarkStart w:id="1" w:name="_GoBack"/>
                      <w:bookmarkEnd w:id="1"/>
                      <w:r w:rsidRPr="005E7E54">
                        <w:rPr>
                          <w:rFonts w:ascii="Arial" w:eastAsia="Times New Roman" w:hAnsi="Arial" w:cs="Times New Roman"/>
                          <w:color w:val="000000"/>
                          <w:sz w:val="20"/>
                        </w:rPr>
                        <w:t>Mit freundlichem Gruß</w:t>
                      </w:r>
                    </w:p>
                    <w:p w:rsidR="005E7E54" w:rsidRPr="005E7E54" w:rsidRDefault="005E7E54" w:rsidP="005E7E54">
                      <w:pPr>
                        <w:spacing w:before="100" w:line="320" w:lineRule="atLeast"/>
                        <w:rPr>
                          <w:rFonts w:ascii="Arial" w:eastAsia="Times New Roman" w:hAnsi="Arial" w:cs="Times New Roman"/>
                          <w:color w:val="000000"/>
                          <w:sz w:val="20"/>
                        </w:rPr>
                      </w:pPr>
                    </w:p>
                    <w:p w:rsidR="005E7E54" w:rsidRPr="005E7E54" w:rsidRDefault="005E7E54" w:rsidP="005E7E54">
                      <w:pPr>
                        <w:spacing w:before="100" w:line="320" w:lineRule="atLeast"/>
                        <w:rPr>
                          <w:rFonts w:ascii="Lucida Handwriting" w:eastAsia="Times New Roman" w:hAnsi="Lucida Handwriting" w:cs="Times New Roman"/>
                          <w:color w:val="000000"/>
                        </w:rPr>
                      </w:pPr>
                      <w:r w:rsidRPr="005E7E54">
                        <w:rPr>
                          <w:rFonts w:ascii="Lucida Handwriting" w:eastAsia="Times New Roman" w:hAnsi="Lucida Handwriting" w:cs="Times New Roman"/>
                          <w:color w:val="000000"/>
                        </w:rPr>
                        <w:t>Rita Friedrichs</w:t>
                      </w:r>
                    </w:p>
                    <w:p w:rsidR="005E7E54" w:rsidRPr="005E7E54" w:rsidRDefault="005E7E54" w:rsidP="005E7E54">
                      <w:pPr>
                        <w:spacing w:after="160" w:line="259" w:lineRule="auto"/>
                        <w:rPr>
                          <w:rFonts w:ascii="Calibri" w:eastAsia="Calibri" w:hAnsi="Calibri" w:cs="Times New Roman"/>
                          <w:sz w:val="22"/>
                          <w:szCs w:val="22"/>
                          <w:lang w:eastAsia="en-US"/>
                        </w:rPr>
                      </w:pPr>
                    </w:p>
                    <w:p w:rsidR="00D21781" w:rsidRPr="00520BDB" w:rsidRDefault="00D21781">
                      <w:pPr>
                        <w:rPr>
                          <w:rFonts w:ascii="Arial" w:hAnsi="Arial"/>
                          <w:noProof/>
                          <w:sz w:val="22"/>
                          <w:szCs w:val="22"/>
                        </w:rPr>
                      </w:pPr>
                    </w:p>
                  </w:txbxContent>
                </v:textbox>
                <w10:wrap type="square" anchorx="page" anchory="page"/>
              </v:shape>
            </w:pict>
          </mc:Fallback>
        </mc:AlternateContent>
      </w:r>
    </w:p>
    <w:sectPr w:rsidR="002528E7" w:rsidRPr="00E87837" w:rsidSect="00E87837">
      <w:headerReference w:type="default" r:id="rId7"/>
      <w:headerReference w:type="first" r:id="rId8"/>
      <w:pgSz w:w="11905" w:h="16837"/>
      <w:pgMar w:top="1304" w:right="1417" w:bottom="1134"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264" w:rsidRDefault="005A3264" w:rsidP="00DD1C58">
      <w:r>
        <w:separator/>
      </w:r>
    </w:p>
  </w:endnote>
  <w:endnote w:type="continuationSeparator" w:id="0">
    <w:p w:rsidR="005A3264" w:rsidRDefault="005A3264" w:rsidP="00DD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264" w:rsidRDefault="005A3264" w:rsidP="00DD1C58">
      <w:r>
        <w:separator/>
      </w:r>
    </w:p>
  </w:footnote>
  <w:footnote w:type="continuationSeparator" w:id="0">
    <w:p w:rsidR="005A3264" w:rsidRDefault="005A3264" w:rsidP="00DD1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81" w:rsidRDefault="00D21781">
    <w:pPr>
      <w:pStyle w:val="Kopfzeile"/>
    </w:pPr>
    <w:r>
      <w:rPr>
        <w:noProof/>
      </w:rPr>
      <w:drawing>
        <wp:anchor distT="0" distB="0" distL="114300" distR="114300" simplePos="0" relativeHeight="251660288" behindDoc="1" locked="1" layoutInCell="1" allowOverlap="1" wp14:anchorId="61A176D9" wp14:editId="0A595D7E">
          <wp:simplePos x="0" y="0"/>
          <wp:positionH relativeFrom="page">
            <wp:posOffset>0</wp:posOffset>
          </wp:positionH>
          <wp:positionV relativeFrom="page">
            <wp:posOffset>0</wp:posOffset>
          </wp:positionV>
          <wp:extent cx="7555992" cy="1068019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te2.jpg"/>
                  <pic:cNvPicPr/>
                </pic:nvPicPr>
                <pic:blipFill>
                  <a:blip r:embed="rId1">
                    <a:extLst>
                      <a:ext uri="{28A0092B-C50C-407E-A947-70E740481C1C}">
                        <a14:useLocalDpi xmlns:a14="http://schemas.microsoft.com/office/drawing/2010/main" val="0"/>
                      </a:ext>
                    </a:extLst>
                  </a:blip>
                  <a:stretch>
                    <a:fillRect/>
                  </a:stretch>
                </pic:blipFill>
                <pic:spPr>
                  <a:xfrm>
                    <a:off x="0" y="0"/>
                    <a:ext cx="7555992" cy="1068019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81" w:rsidRDefault="00D21781">
    <w:pPr>
      <w:pStyle w:val="Kopfzeile"/>
    </w:pPr>
    <w:r>
      <w:rPr>
        <w:noProof/>
      </w:rPr>
      <w:drawing>
        <wp:anchor distT="0" distB="0" distL="114300" distR="114300" simplePos="0" relativeHeight="251659264" behindDoc="1" locked="1" layoutInCell="1" allowOverlap="1" wp14:anchorId="21646B84" wp14:editId="247D5808">
          <wp:simplePos x="0" y="0"/>
          <wp:positionH relativeFrom="page">
            <wp:posOffset>0</wp:posOffset>
          </wp:positionH>
          <wp:positionV relativeFrom="page">
            <wp:posOffset>0</wp:posOffset>
          </wp:positionV>
          <wp:extent cx="7559040" cy="10692384"/>
          <wp:effectExtent l="0" t="0" r="10160" b="127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_RF.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A6"/>
    <w:rsid w:val="002528E7"/>
    <w:rsid w:val="00520BDB"/>
    <w:rsid w:val="005A3264"/>
    <w:rsid w:val="005E7E54"/>
    <w:rsid w:val="00615309"/>
    <w:rsid w:val="006D19A1"/>
    <w:rsid w:val="007C5249"/>
    <w:rsid w:val="00997D95"/>
    <w:rsid w:val="00BE374E"/>
    <w:rsid w:val="00C007A6"/>
    <w:rsid w:val="00D21781"/>
    <w:rsid w:val="00DD1C58"/>
    <w:rsid w:val="00E87837"/>
    <w:rsid w:val="00EC77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20996A8-9EF2-4511-9BCD-547DE505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1C58"/>
    <w:pPr>
      <w:tabs>
        <w:tab w:val="center" w:pos="4536"/>
        <w:tab w:val="right" w:pos="9072"/>
      </w:tabs>
    </w:pPr>
  </w:style>
  <w:style w:type="character" w:customStyle="1" w:styleId="KopfzeileZchn">
    <w:name w:val="Kopfzeile Zchn"/>
    <w:basedOn w:val="Absatz-Standardschriftart"/>
    <w:link w:val="Kopfzeile"/>
    <w:uiPriority w:val="99"/>
    <w:rsid w:val="00DD1C58"/>
  </w:style>
  <w:style w:type="paragraph" w:styleId="Fuzeile">
    <w:name w:val="footer"/>
    <w:basedOn w:val="Standard"/>
    <w:link w:val="FuzeileZchn"/>
    <w:uiPriority w:val="99"/>
    <w:unhideWhenUsed/>
    <w:rsid w:val="00DD1C58"/>
    <w:pPr>
      <w:tabs>
        <w:tab w:val="center" w:pos="4536"/>
        <w:tab w:val="right" w:pos="9072"/>
      </w:tabs>
    </w:pPr>
  </w:style>
  <w:style w:type="character" w:customStyle="1" w:styleId="FuzeileZchn">
    <w:name w:val="Fußzeile Zchn"/>
    <w:basedOn w:val="Absatz-Standardschriftart"/>
    <w:link w:val="Fuzeile"/>
    <w:uiPriority w:val="99"/>
    <w:rsid w:val="00DD1C58"/>
  </w:style>
  <w:style w:type="paragraph" w:styleId="Sprechblasentext">
    <w:name w:val="Balloon Text"/>
    <w:basedOn w:val="Standard"/>
    <w:link w:val="SprechblasentextZchn"/>
    <w:uiPriority w:val="99"/>
    <w:semiHidden/>
    <w:unhideWhenUsed/>
    <w:rsid w:val="00DD1C5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D1C58"/>
    <w:rPr>
      <w:rFonts w:ascii="Lucida Grande" w:hAnsi="Lucida Grande" w:cs="Lucida Grande"/>
      <w:sz w:val="18"/>
      <w:szCs w:val="18"/>
    </w:rPr>
  </w:style>
  <w:style w:type="character" w:styleId="Platzhaltertext">
    <w:name w:val="Placeholder Text"/>
    <w:basedOn w:val="Absatz-Standardschriftart"/>
    <w:uiPriority w:val="99"/>
    <w:semiHidden/>
    <w:rsid w:val="00520B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mann\Desktop\Neuer%20Ordner\Friedrichs-Zweitblatt_01a.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87D45-B2FD-43F6-A6AE-C83BC640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Friedrichs-Zweitblatt_01a</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Burmann</dc:creator>
  <cp:keywords/>
  <dc:description/>
  <cp:lastModifiedBy>Burmann</cp:lastModifiedBy>
  <cp:revision>2</cp:revision>
  <cp:lastPrinted>2016-03-01T17:19:00Z</cp:lastPrinted>
  <dcterms:created xsi:type="dcterms:W3CDTF">2016-04-04T09:18:00Z</dcterms:created>
  <dcterms:modified xsi:type="dcterms:W3CDTF">2016-05-13T08:27:00Z</dcterms:modified>
</cp:coreProperties>
</file>